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4629B7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629B7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629B7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629B7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4629B7" w:rsidRDefault="00DC5E52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B75E8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41946">
              <w:rPr>
                <w:rFonts w:asciiTheme="minorHAnsi" w:hAnsiTheme="minorHAnsi"/>
                <w:sz w:val="24"/>
                <w:szCs w:val="24"/>
              </w:rPr>
              <w:t>M19-</w:t>
            </w:r>
            <w:r w:rsidR="004C3F62">
              <w:rPr>
                <w:rFonts w:asciiTheme="minorHAnsi" w:hAnsiTheme="minorHAnsi"/>
                <w:sz w:val="24"/>
                <w:szCs w:val="24"/>
              </w:rPr>
              <w:t>D3</w:t>
            </w:r>
          </w:p>
        </w:tc>
      </w:tr>
      <w:tr w:rsidR="002E1B9A" w:rsidRPr="004629B7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629B7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6A3B00" w:rsidRPr="006A3B00">
              <w:rPr>
                <w:rFonts w:asciiTheme="minorHAnsi" w:hAnsiTheme="minorHAnsi"/>
                <w:b/>
                <w:sz w:val="24"/>
                <w:szCs w:val="24"/>
              </w:rPr>
              <w:t>Przedmiot do wyboru I</w:t>
            </w:r>
            <w:r w:rsidR="009A095A">
              <w:rPr>
                <w:rFonts w:asciiTheme="minorHAnsi" w:hAnsiTheme="minorHAnsi"/>
                <w:b/>
                <w:sz w:val="24"/>
                <w:szCs w:val="24"/>
              </w:rPr>
              <w:t>I</w:t>
            </w:r>
          </w:p>
          <w:p w:rsidR="002E1B9A" w:rsidRPr="007E66FC" w:rsidRDefault="006A3B00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Techniki rejestracji ruchu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728F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C5E52">
              <w:rPr>
                <w:rFonts w:asciiTheme="minorHAnsi" w:hAnsiTheme="minorHAnsi"/>
                <w:sz w:val="24"/>
                <w:szCs w:val="24"/>
              </w:rPr>
              <w:t>M3D-</w:t>
            </w:r>
            <w:r w:rsidR="004C3F62">
              <w:rPr>
                <w:rFonts w:asciiTheme="minorHAnsi" w:hAnsiTheme="minorHAnsi"/>
                <w:sz w:val="24"/>
                <w:szCs w:val="24"/>
              </w:rPr>
              <w:t>M13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caps/>
                <w:sz w:val="24"/>
                <w:szCs w:val="24"/>
              </w:rPr>
              <w:t>Instytut Informatyki Stosowanej</w:t>
            </w: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4629B7" w:rsidTr="00933C55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AA4E25" w:rsidRDefault="004629B7" w:rsidP="00933C3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629B7" w:rsidRPr="00AA4E25" w:rsidRDefault="004629B7" w:rsidP="009F5D0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</w:t>
            </w:r>
            <w:r w:rsidR="00570C05">
              <w:rPr>
                <w:rFonts w:asciiTheme="minorHAnsi" w:hAnsiTheme="minorHAnsi"/>
                <w:sz w:val="24"/>
                <w:szCs w:val="24"/>
              </w:rPr>
              <w:t>specjalność</w:t>
            </w:r>
            <w:r w:rsidRPr="00D9333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9F5D0A" w:rsidRPr="009F5D0A">
              <w:rPr>
                <w:rFonts w:asciiTheme="minorHAnsi" w:hAnsi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629B7" w:rsidRPr="004629B7" w:rsidTr="00B45916">
        <w:trPr>
          <w:cantSplit/>
        </w:trPr>
        <w:tc>
          <w:tcPr>
            <w:tcW w:w="497" w:type="dxa"/>
            <w:vMerge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629B7" w:rsidRPr="004629B7" w:rsidRDefault="004629B7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AA4E25" w:rsidRDefault="004629B7" w:rsidP="00933C31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629B7" w:rsidRPr="00AA4E25" w:rsidRDefault="004629B7" w:rsidP="00933C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4629B7" w:rsidRDefault="002E1B9A" w:rsidP="009F5D0A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  <w:r w:rsidR="00234397" w:rsidRPr="004629B7">
              <w:rPr>
                <w:rFonts w:asciiTheme="minorHAnsi" w:hAnsiTheme="minorHAnsi"/>
                <w:sz w:val="24"/>
                <w:szCs w:val="24"/>
              </w:rPr>
              <w:br/>
            </w:r>
            <w:r w:rsidR="0021305A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34397" w:rsidRPr="004629B7">
              <w:rPr>
                <w:rFonts w:asciiTheme="minorHAnsi" w:hAnsiTheme="minorHAnsi"/>
                <w:b/>
                <w:sz w:val="24"/>
                <w:szCs w:val="24"/>
              </w:rPr>
              <w:t>/</w:t>
            </w:r>
            <w:r w:rsidR="0021305A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629B7" w:rsidRDefault="0023439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629B7" w:rsidTr="004673D9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629B7" w:rsidTr="00933C55">
        <w:trPr>
          <w:cantSplit/>
        </w:trPr>
        <w:tc>
          <w:tcPr>
            <w:tcW w:w="497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629B7" w:rsidRDefault="00D64C9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629B7" w:rsidRDefault="00D64C92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4629B7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4629B7" w:rsidRDefault="004D662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7E66FC" w:rsidRDefault="00D64C92" w:rsidP="00EA2EF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 prof. uczelni</w:t>
            </w:r>
          </w:p>
        </w:tc>
      </w:tr>
      <w:tr w:rsidR="004D6624" w:rsidRPr="004629B7" w:rsidTr="004673D9">
        <w:trPr>
          <w:trHeight w:val="629"/>
        </w:trPr>
        <w:tc>
          <w:tcPr>
            <w:tcW w:w="2988" w:type="dxa"/>
            <w:vAlign w:val="center"/>
          </w:tcPr>
          <w:p w:rsidR="004D6624" w:rsidRPr="004629B7" w:rsidRDefault="004D6624" w:rsidP="004673D9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7E66FC" w:rsidRDefault="00D64C9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70F56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, prof. uczelni</w:t>
            </w:r>
          </w:p>
        </w:tc>
      </w:tr>
      <w:tr w:rsidR="00D64C92" w:rsidRPr="004629B7" w:rsidTr="004D6624">
        <w:tc>
          <w:tcPr>
            <w:tcW w:w="2988" w:type="dxa"/>
            <w:vAlign w:val="center"/>
          </w:tcPr>
          <w:p w:rsidR="00D64C92" w:rsidRPr="004629B7" w:rsidRDefault="00D64C9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4C92" w:rsidRPr="00F70F56" w:rsidRDefault="00D64C92" w:rsidP="00B60711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Przekazanie podstawowej wiedzy z zakresu technik przechwytywania i rejestracji ruchu (ang. </w:t>
            </w:r>
            <w:proofErr w:type="spellStart"/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motion</w:t>
            </w:r>
            <w:proofErr w:type="spellEnd"/>
            <w:r w:rsidRPr="00F70F56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capture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) stosowanych w produkcjach filmowych, przy tworzeniu gier komputerowych oraz w analizie kinematyki ruchu robotów mobilnych. </w:t>
            </w:r>
          </w:p>
        </w:tc>
      </w:tr>
      <w:tr w:rsidR="00D64C92" w:rsidRPr="004629B7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4C92" w:rsidRPr="004629B7" w:rsidRDefault="00D64C9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4C92" w:rsidRPr="00F70F56" w:rsidRDefault="00D64C92" w:rsidP="00B60711">
            <w:pPr>
              <w:spacing w:before="120" w:line="280" w:lineRule="exact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Systemy przetwarzania sygnałów, teoretyczne podstawy informatyki, algorytmy i struktury danych, grafika inżynierska, multimedia.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4629B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629B7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753F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posiada wiedzę ogólną z zakresu budowy i zasad działania systemów  przechwytywania i rejestracji ruchu,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D64C92" w:rsidRPr="004629B7" w:rsidTr="00753F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posiada wiedzę ogólną  z zakresu oprogramowania stosowanego do rejestracji ruchu,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K_W05, K_W06, K_W15</w:t>
            </w:r>
          </w:p>
        </w:tc>
      </w:tr>
      <w:tr w:rsidR="00D64C92" w:rsidRPr="004629B7" w:rsidTr="00753F6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posiada wiedzę szczegółową dotyczącą przebiegu nagrania sekwencji ruchu.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K_W06, K_W15</w:t>
            </w:r>
          </w:p>
        </w:tc>
      </w:tr>
      <w:tr w:rsidR="002E1B9A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C826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potrafi wykorzystać poznane techniki przechwytywania i rejestracji ruchu w produkcjach filmowych oraz przy tworzeniu gier komputerowych,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K_U20, K_U23</w:t>
            </w:r>
          </w:p>
        </w:tc>
      </w:tr>
      <w:tr w:rsidR="00D64C92" w:rsidRPr="004629B7" w:rsidTr="00C826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potrafi przygotować scenariusz, scenerię, ustawić kamery, przeprowadzić kalibrację systemu rejestracji ruchu, przygotować aktora do nagrania (kalibracja aktora) oraz przeprowadzić nagranie sekwencji ruchu zgodnie z opracowanym harmonogramem, 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K_U20, K_U21</w:t>
            </w:r>
          </w:p>
        </w:tc>
      </w:tr>
      <w:tr w:rsidR="00D64C92" w:rsidRPr="004629B7" w:rsidTr="00C826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projektuje, analizuje pod kątem poprawności oraz programuje algorytmy wykorzystywane w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K_U20, K_U17</w:t>
            </w:r>
          </w:p>
        </w:tc>
      </w:tr>
      <w:tr w:rsidR="00D64C92" w:rsidRPr="004629B7" w:rsidTr="00C8267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rozumie potrzebę i zna możliwości ciągłego dokształcania w zakresie rozwijających się technik przechwytywania i rejestracji ruchu, co prowadzi do podnoszenia kompetencji zawodowych,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K_U06</w:t>
            </w:r>
          </w:p>
        </w:tc>
      </w:tr>
      <w:tr w:rsidR="004629B7" w:rsidRPr="004629B7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4629B7" w:rsidRDefault="004629B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4629B7" w:rsidRDefault="004629B7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000D0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4C92" w:rsidRPr="004629B7" w:rsidRDefault="00D64C92" w:rsidP="004629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K_K06, K_K03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4629B7" w:rsidTr="00D64C92">
        <w:tc>
          <w:tcPr>
            <w:tcW w:w="10008" w:type="dxa"/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629B7" w:rsidTr="00D64C92">
        <w:tc>
          <w:tcPr>
            <w:tcW w:w="10008" w:type="dxa"/>
            <w:shd w:val="pct15" w:color="auto" w:fill="FFFFFF"/>
          </w:tcPr>
          <w:p w:rsidR="002E1B9A" w:rsidRPr="004629B7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D64C92" w:rsidRPr="004629B7" w:rsidTr="00D64C92">
        <w:tc>
          <w:tcPr>
            <w:tcW w:w="10008" w:type="dxa"/>
          </w:tcPr>
          <w:p w:rsidR="00D64C92" w:rsidRPr="00F70F56" w:rsidRDefault="00D64C92" w:rsidP="00B60711">
            <w:pPr>
              <w:pStyle w:val="Default"/>
              <w:rPr>
                <w:rFonts w:asciiTheme="minorHAnsi" w:hAnsiTheme="minorHAnsi"/>
                <w:color w:val="auto"/>
                <w:szCs w:val="24"/>
              </w:rPr>
            </w:pPr>
            <w:r w:rsidRPr="00F70F56">
              <w:rPr>
                <w:rFonts w:asciiTheme="minorHAnsi" w:hAnsiTheme="minorHAnsi"/>
                <w:color w:val="auto"/>
                <w:szCs w:val="24"/>
              </w:rPr>
              <w:t>W ramach wykładów studenci opanowują wiedzę teoretyczną z następujących tematów: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Definicje pojęć stosowanych w technikach rejestracji ruchu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Systemy rejestracji ruchu (1h). 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Kamery światła widzialnego i pracujące w podczerwieni (1h). 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Oprogramowanie stosowane do rejestracji ruchu (2h).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Przygotowanie scenariusz i scenerii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Ustawienie kamer oraz kalibracja systemu rejestracji ruchu (1h).  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Przygotowanie aktora do nagrania. ROW (ang. </w:t>
            </w:r>
            <w:proofErr w:type="spellStart"/>
            <w:r w:rsidRPr="00F70F56">
              <w:rPr>
                <w:rFonts w:asciiTheme="minorHAnsi" w:hAnsiTheme="minorHAnsi"/>
                <w:i/>
              </w:rPr>
              <w:t>range</w:t>
            </w:r>
            <w:proofErr w:type="spellEnd"/>
            <w:r w:rsidRPr="00F70F56">
              <w:rPr>
                <w:rFonts w:asciiTheme="minorHAnsi" w:hAnsiTheme="minorHAnsi"/>
                <w:i/>
              </w:rPr>
              <w:t xml:space="preserve"> of </w:t>
            </w:r>
            <w:proofErr w:type="spellStart"/>
            <w:r w:rsidRPr="00F70F56">
              <w:rPr>
                <w:rFonts w:asciiTheme="minorHAnsi" w:hAnsiTheme="minorHAnsi"/>
                <w:i/>
              </w:rPr>
              <w:t>motion</w:t>
            </w:r>
            <w:proofErr w:type="spellEnd"/>
            <w:r w:rsidRPr="00F70F56">
              <w:rPr>
                <w:rFonts w:asciiTheme="minorHAnsi" w:hAnsiTheme="minorHAnsi"/>
              </w:rPr>
              <w:t>) -  kalibracja aktora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Przebieg nagrania sekwencji ruchu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Wizualizacja danych pomiarowych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Rekonstrukcja ruchu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Przeniesienie zarejestrowanego ruchu na zadane obiekty animacji audio: stratne lub bezstratne, podstawy psychoakustyki, kodowanie w standardach MPEG-1, MPEG-2 i MPEG-4 (1h).  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>Zastosowanie technik rejestracji ruchu w medycynie (1h).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Zastosowanie technik rejestracji ruchu w analizie drgań układów mechanicznych (1h). </w:t>
            </w:r>
          </w:p>
          <w:p w:rsidR="00D64C92" w:rsidRPr="00F70F56" w:rsidRDefault="00D64C92" w:rsidP="00D64C9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F70F56">
              <w:rPr>
                <w:rFonts w:asciiTheme="minorHAnsi" w:hAnsiTheme="minorHAnsi"/>
              </w:rPr>
              <w:t xml:space="preserve">Zastosowanie technik rejestracji ruchu w analizie tras przelotów bezzałogowych statków powietrznych (1h). </w:t>
            </w:r>
          </w:p>
        </w:tc>
      </w:tr>
      <w:tr w:rsidR="00D64C92" w:rsidRPr="004629B7" w:rsidTr="00D64C92">
        <w:tc>
          <w:tcPr>
            <w:tcW w:w="10008" w:type="dxa"/>
            <w:shd w:val="pct15" w:color="auto" w:fill="FFFFFF"/>
          </w:tcPr>
          <w:p w:rsidR="00D64C92" w:rsidRPr="004629B7" w:rsidRDefault="00D64C9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D64C92" w:rsidRPr="004629B7" w:rsidTr="00D64C92">
        <w:tc>
          <w:tcPr>
            <w:tcW w:w="10008" w:type="dxa"/>
          </w:tcPr>
          <w:p w:rsidR="00D64C92" w:rsidRPr="004629B7" w:rsidRDefault="00D64C9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D64C92">
        <w:tc>
          <w:tcPr>
            <w:tcW w:w="10008" w:type="dxa"/>
            <w:shd w:val="pct15" w:color="auto" w:fill="FFFFFF"/>
          </w:tcPr>
          <w:p w:rsidR="00D64C92" w:rsidRPr="004629B7" w:rsidRDefault="00D64C92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D64C92" w:rsidRPr="004629B7" w:rsidTr="00D64C92">
        <w:tc>
          <w:tcPr>
            <w:tcW w:w="10008" w:type="dxa"/>
          </w:tcPr>
          <w:p w:rsidR="00D64C92" w:rsidRPr="002F44D5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Zajęcia dydaktyczne realizowane w ramach laboratorium Technik rejestracji ruchu obejmują następujące tematy: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Rejestracja ruchów twarzy aktora przy wykorzystaniu markerów pasywnych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Rejestracja ruchów twarzy aktora przy pomocy systemu KINECT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Rekonstrukcja ruchów twarzy aktora na modelach powłokowych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Rejestracja ruchów aktora przy pomocy systemu KINECT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Rekonstrukcja ruchów aktora na modelach belkowych (2h).</w:t>
            </w:r>
          </w:p>
          <w:p w:rsidR="00D64C92" w:rsidRPr="00F143A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Rekonstrukcja ruchów aktora na modelach powłokowych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Rejestracja ruchów grupy aktorów współpracujących z rekwizytami, przy wykorzystaniu systemu KINECT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Rekonstrukcja ruchów grupy aktorów współpracujących z rekwizytami na modelach belkowych i powłokowych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 xml:space="preserve">Rejestracja ruchów aktora przy pomocy markerów aktywnych. Budowa stanowiska do rejestracji </w:t>
            </w:r>
            <w:r w:rsidRPr="002F44D5">
              <w:rPr>
                <w:rFonts w:asciiTheme="minorHAnsi" w:hAnsiTheme="minorHAnsi"/>
                <w:sz w:val="24"/>
                <w:szCs w:val="24"/>
              </w:rPr>
              <w:lastRenderedPageBreak/>
              <w:t>ruchów aktora. Przygotowanie aktora i rekwizytów. Kalibracja systemu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Wizualizacja zarejestrowanych ruchów i przeniesienie ich na zadane obiekty animacji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Synteza modeli biomechanicznych ciała człowieka w oparciu o zarejestrowane ruchy aktorów (2h).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 xml:space="preserve">Rejestracja drgań układów mechanicznych przy wykorzystaniu technik </w:t>
            </w:r>
            <w:proofErr w:type="spellStart"/>
            <w:r w:rsidRPr="002F44D5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Pr="002F44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2F44D5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Pr="002F44D5">
              <w:rPr>
                <w:rFonts w:asciiTheme="minorHAnsi" w:hAnsiTheme="minorHAnsi"/>
                <w:sz w:val="24"/>
                <w:szCs w:val="24"/>
              </w:rPr>
              <w:t xml:space="preserve"> (2h), 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 xml:space="preserve">Rejestracja trajektorii lotów bezzałogowych statków powietrznych przy wykorzystaniu technik </w:t>
            </w:r>
            <w:proofErr w:type="spellStart"/>
            <w:r w:rsidRPr="002F44D5">
              <w:rPr>
                <w:rFonts w:asciiTheme="minorHAnsi" w:hAnsiTheme="minorHAnsi"/>
                <w:sz w:val="24"/>
                <w:szCs w:val="24"/>
              </w:rPr>
              <w:t>motion</w:t>
            </w:r>
            <w:proofErr w:type="spellEnd"/>
            <w:r w:rsidRPr="002F44D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2F44D5">
              <w:rPr>
                <w:rFonts w:asciiTheme="minorHAnsi" w:hAnsiTheme="minorHAnsi"/>
                <w:sz w:val="24"/>
                <w:szCs w:val="24"/>
              </w:rPr>
              <w:t>capture</w:t>
            </w:r>
            <w:proofErr w:type="spellEnd"/>
            <w:r w:rsidRPr="002F44D5">
              <w:rPr>
                <w:rFonts w:asciiTheme="minorHAnsi" w:hAnsiTheme="minorHAnsi"/>
                <w:sz w:val="24"/>
                <w:szCs w:val="24"/>
              </w:rPr>
              <w:t xml:space="preserve"> (4h). </w:t>
            </w:r>
          </w:p>
          <w:p w:rsidR="00D64C92" w:rsidRPr="002F44D5" w:rsidRDefault="00D64C92" w:rsidP="00D64C92">
            <w:pPr>
              <w:numPr>
                <w:ilvl w:val="0"/>
                <w:numId w:val="11"/>
              </w:num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 xml:space="preserve">Wizualizacja zrejestrowanych trajektorii lotów bezzałogowych statków powietrznych (2h). </w:t>
            </w:r>
          </w:p>
          <w:p w:rsidR="00D64C92" w:rsidRPr="002F44D5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64C92" w:rsidRPr="002F44D5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2F44D5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100 %.</w:t>
            </w:r>
          </w:p>
        </w:tc>
      </w:tr>
      <w:tr w:rsidR="00D64C92" w:rsidRPr="004629B7" w:rsidTr="00D64C92">
        <w:tc>
          <w:tcPr>
            <w:tcW w:w="10008" w:type="dxa"/>
            <w:shd w:val="pct15" w:color="auto" w:fill="FFFFFF"/>
          </w:tcPr>
          <w:p w:rsidR="00D64C92" w:rsidRPr="004629B7" w:rsidRDefault="00D64C92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4629B7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D64C92" w:rsidRPr="004629B7" w:rsidTr="00D64C92">
        <w:tc>
          <w:tcPr>
            <w:tcW w:w="10008" w:type="dxa"/>
          </w:tcPr>
          <w:p w:rsidR="00D64C92" w:rsidRPr="004629B7" w:rsidRDefault="00D64C9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D64C92">
        <w:tc>
          <w:tcPr>
            <w:tcW w:w="10008" w:type="dxa"/>
            <w:shd w:val="clear" w:color="auto" w:fill="D9D9D9"/>
          </w:tcPr>
          <w:p w:rsidR="00D64C92" w:rsidRPr="004629B7" w:rsidRDefault="00D64C9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D64C92" w:rsidRPr="004629B7" w:rsidTr="00D64C92">
        <w:tc>
          <w:tcPr>
            <w:tcW w:w="10008" w:type="dxa"/>
          </w:tcPr>
          <w:p w:rsidR="00D64C92" w:rsidRPr="004629B7" w:rsidRDefault="00D64C9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64C92" w:rsidRPr="004629B7" w:rsidTr="00D64C92">
        <w:tc>
          <w:tcPr>
            <w:tcW w:w="10008" w:type="dxa"/>
            <w:shd w:val="clear" w:color="auto" w:fill="D9D9D9"/>
          </w:tcPr>
          <w:p w:rsidR="00D64C92" w:rsidRPr="004629B7" w:rsidRDefault="00D64C92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D64C92" w:rsidRPr="004629B7" w:rsidTr="00D64C92">
        <w:tc>
          <w:tcPr>
            <w:tcW w:w="10008" w:type="dxa"/>
          </w:tcPr>
          <w:p w:rsidR="00D64C92" w:rsidRPr="004629B7" w:rsidRDefault="00D64C92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4C92" w:rsidRPr="004629B7" w:rsidTr="00D64C9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4C92" w:rsidRPr="004629B7" w:rsidRDefault="00D64C9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D64C92" w:rsidRPr="00F70F56" w:rsidRDefault="00D64C92" w:rsidP="00D64C92">
            <w:pPr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Malina W.,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Smiatacz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Cyfrowe przetwarzanie obrazów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Akademicka Oficyna Wydawnicza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Exit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>, Warszawa 2008.</w:t>
            </w:r>
          </w:p>
          <w:p w:rsidR="00D64C92" w:rsidRPr="00F70F56" w:rsidRDefault="00D64C92" w:rsidP="00D64C92">
            <w:pPr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Busch D.D.: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Fotografia cyfrowa i obróbka obrazu: wprowadzenie.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 Wydawnictwo Helion, Gliwice 2002.</w:t>
            </w:r>
          </w:p>
          <w:p w:rsidR="00D64C92" w:rsidRPr="00F70F56" w:rsidRDefault="00D64C92" w:rsidP="00D64C92">
            <w:pPr>
              <w:numPr>
                <w:ilvl w:val="0"/>
                <w:numId w:val="12"/>
              </w:num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Lam</w:t>
            </w:r>
            <w:r w:rsidRPr="00F70F56">
              <w:rPr>
                <w:rFonts w:asciiTheme="minorHAnsi" w:hAnsiTheme="minorHAnsi" w:cstheme="minorHAnsi"/>
                <w:sz w:val="24"/>
                <w:szCs w:val="24"/>
              </w:rPr>
              <w:t>é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rand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 J.P..: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Anatomia ruchu.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 Wydawnictwo Arkady,  Warszawa 2014.</w:t>
            </w:r>
          </w:p>
        </w:tc>
      </w:tr>
      <w:tr w:rsidR="00D64C92" w:rsidRPr="004629B7" w:rsidTr="00D64C92">
        <w:tc>
          <w:tcPr>
            <w:tcW w:w="2660" w:type="dxa"/>
          </w:tcPr>
          <w:p w:rsidR="00D64C92" w:rsidRPr="004629B7" w:rsidRDefault="00D64C9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4C92" w:rsidRPr="00F70F56" w:rsidRDefault="00D64C92" w:rsidP="00D64C92">
            <w:pPr>
              <w:numPr>
                <w:ilvl w:val="0"/>
                <w:numId w:val="13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Erdmann W. S.: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Biomechanika: podstawy dla kierunku inżynieria biomechaniczna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 Wydawnictwo Politechniki Gdańskiej, Gdańsk 2015.</w:t>
            </w:r>
          </w:p>
          <w:p w:rsidR="00D64C92" w:rsidRPr="00F70F56" w:rsidRDefault="00D64C92" w:rsidP="00D64C92">
            <w:pPr>
              <w:numPr>
                <w:ilvl w:val="0"/>
                <w:numId w:val="13"/>
              </w:num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Krechowiecki A., Czerwiński F.: </w:t>
            </w:r>
            <w:r w:rsidRPr="00F70F56">
              <w:rPr>
                <w:rFonts w:asciiTheme="minorHAnsi" w:hAnsiTheme="minorHAnsi"/>
                <w:i/>
                <w:sz w:val="24"/>
                <w:szCs w:val="24"/>
              </w:rPr>
              <w:t>Zarys anatomii człowieka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Państ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F70F56">
              <w:rPr>
                <w:rFonts w:asciiTheme="minorHAnsi" w:hAnsiTheme="minorHAnsi"/>
                <w:sz w:val="24"/>
                <w:szCs w:val="24"/>
              </w:rPr>
              <w:t>Zakł</w:t>
            </w:r>
            <w:proofErr w:type="spellEnd"/>
            <w:r w:rsidRPr="00F70F56">
              <w:rPr>
                <w:rFonts w:asciiTheme="minorHAnsi" w:hAnsiTheme="minorHAnsi"/>
                <w:sz w:val="24"/>
                <w:szCs w:val="24"/>
              </w:rPr>
              <w:t>. Wydaw. Lekarskich, Warszawa 1987.</w:t>
            </w:r>
          </w:p>
        </w:tc>
      </w:tr>
      <w:tr w:rsidR="00D64C92" w:rsidRPr="004629B7" w:rsidTr="00D64C92">
        <w:tc>
          <w:tcPr>
            <w:tcW w:w="2660" w:type="dxa"/>
          </w:tcPr>
          <w:p w:rsidR="00D64C92" w:rsidRPr="004629B7" w:rsidRDefault="00D64C92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Wykład z prezentacja multimedialną, objaśnienia.</w:t>
            </w:r>
          </w:p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Filmy i animacje. </w:t>
            </w:r>
          </w:p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Zadania praktyczne.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4629B7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64C92" w:rsidRPr="004629B7" w:rsidTr="008534D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zarówno podczas ćwiczeń laboratoryjnych, jak i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01, 02, 03, 04, 05, 06, 07, 08</w:t>
            </w:r>
          </w:p>
        </w:tc>
      </w:tr>
      <w:tr w:rsidR="00D64C92" w:rsidRPr="004629B7" w:rsidTr="008534DA">
        <w:tc>
          <w:tcPr>
            <w:tcW w:w="8208" w:type="dxa"/>
            <w:gridSpan w:val="2"/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Zadania praktyczne do wykonania w ramach laboratorium</w:t>
            </w:r>
          </w:p>
        </w:tc>
        <w:tc>
          <w:tcPr>
            <w:tcW w:w="1800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04, 05, 06, 07</w:t>
            </w:r>
          </w:p>
        </w:tc>
      </w:tr>
      <w:tr w:rsidR="00D64C92" w:rsidRPr="004629B7" w:rsidTr="008534DA">
        <w:tc>
          <w:tcPr>
            <w:tcW w:w="8208" w:type="dxa"/>
            <w:gridSpan w:val="2"/>
            <w:vAlign w:val="center"/>
          </w:tcPr>
          <w:p w:rsidR="00D64C92" w:rsidRPr="00F70F56" w:rsidRDefault="00D64C92" w:rsidP="00B60711">
            <w:pPr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zarówno podczas ćwiczeń laboratoryjnych, jak i wykładów.</w:t>
            </w:r>
          </w:p>
        </w:tc>
        <w:tc>
          <w:tcPr>
            <w:tcW w:w="1800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01, 02, 03, 04, 05, 06, 07, 08</w:t>
            </w:r>
          </w:p>
        </w:tc>
      </w:tr>
      <w:tr w:rsidR="00520603" w:rsidRPr="004629B7" w:rsidTr="00933C55">
        <w:tc>
          <w:tcPr>
            <w:tcW w:w="8208" w:type="dxa"/>
            <w:gridSpan w:val="2"/>
          </w:tcPr>
          <w:p w:rsidR="00520603" w:rsidRPr="004629B7" w:rsidRDefault="0052060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520603" w:rsidRPr="004629B7" w:rsidRDefault="0052060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D64C92" w:rsidRPr="004629B7" w:rsidRDefault="00D64C92" w:rsidP="007E66FC">
            <w:pPr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D64C92" w:rsidRPr="00F70F56" w:rsidRDefault="00D64C92" w:rsidP="00B60711">
            <w:pPr>
              <w:ind w:left="16" w:firstLine="16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 xml:space="preserve">Warunki zaliczenia laboratorium: udział we wszystkich ćwiczeniach laboratoryjnych przewidzianych w programie zajęć, </w:t>
            </w:r>
            <w:r w:rsidRPr="00F70F56">
              <w:rPr>
                <w:rFonts w:asciiTheme="minorHAnsi" w:hAnsiTheme="minorHAnsi" w:cs="Arial Narrow"/>
                <w:sz w:val="24"/>
                <w:szCs w:val="24"/>
              </w:rPr>
              <w:t>pozytywna realizacja zadań wykonywanych w trakcie ćwiczeń, zaliczenie kolokwiów przeprowadzanych w formie testów składających się z pytań zamkniętych</w:t>
            </w:r>
            <w:r w:rsidRPr="00F70F56">
              <w:rPr>
                <w:rFonts w:asciiTheme="minorHAnsi" w:hAnsiTheme="minorHAnsi"/>
                <w:sz w:val="24"/>
                <w:szCs w:val="24"/>
              </w:rPr>
              <w:t>. W przypadku braku zaliczenia któregokolwiek kolokwium istnieje możliwość zaliczenia go w ramach kolokwium poprawkowego.</w:t>
            </w:r>
          </w:p>
          <w:p w:rsidR="00D64C92" w:rsidRPr="00F70F56" w:rsidRDefault="00D64C92" w:rsidP="00B60711">
            <w:pPr>
              <w:ind w:left="34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Warunki zaliczenia przedmiotu: zaliczenie laboratorium, pozytywny wynik kolokwium przeprowadzonego w ramach wykładów. Kolokwium przeprowadzane w trakcie wykładów składa się z testu pytań zamkniętych. W przypadku zaliczenia laboratorium na ocenę co najmniej 4.5 (ponad dobry) przewiduje się możliwość zwolnienie studenta z kolokwium przeprowadzanego na wykładzie. Wówczas o wyniku zaliczenia przedmiotu decyduje zaliczenie laboratorium. </w:t>
            </w:r>
          </w:p>
          <w:p w:rsidR="00D64C92" w:rsidRPr="00F70F56" w:rsidRDefault="00D64C92" w:rsidP="00B60711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Arial Narrow"/>
              </w:rPr>
            </w:pPr>
            <w:r w:rsidRPr="00F70F56">
              <w:rPr>
                <w:rFonts w:asciiTheme="minorHAnsi" w:hAnsiTheme="minorHAnsi" w:cs="Arial Narrow"/>
              </w:rPr>
              <w:t>Ocena zaliczenia ćwiczeń laboratoryjnych stanowi 60% oceny końcowej.</w:t>
            </w:r>
          </w:p>
          <w:p w:rsidR="00D64C92" w:rsidRPr="00F70F56" w:rsidRDefault="00D64C92" w:rsidP="00B60711">
            <w:pPr>
              <w:ind w:left="34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 w:cs="Arial Narrow"/>
                <w:sz w:val="24"/>
                <w:szCs w:val="24"/>
              </w:rPr>
              <w:t xml:space="preserve">Ocena kolokwium przeprowadzonego w trakcie wykładów stanowi 40% oceny końcowej. </w:t>
            </w:r>
          </w:p>
        </w:tc>
      </w:tr>
    </w:tbl>
    <w:p w:rsidR="002E1B9A" w:rsidRPr="004629B7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4629B7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629B7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629B7" w:rsidTr="00933C55">
        <w:trPr>
          <w:trHeight w:val="262"/>
        </w:trPr>
        <w:tc>
          <w:tcPr>
            <w:tcW w:w="5070" w:type="dxa"/>
            <w:vMerge/>
          </w:tcPr>
          <w:p w:rsidR="002E1B9A" w:rsidRPr="004629B7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629B7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629B7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4629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 xml:space="preserve">Udział w ćwiczeniach </w:t>
            </w:r>
            <w:r>
              <w:rPr>
                <w:rFonts w:asciiTheme="minorHAnsi" w:hAnsiTheme="minorHAnsi"/>
                <w:sz w:val="24"/>
                <w:szCs w:val="24"/>
              </w:rPr>
              <w:t>audytoryjnych i </w:t>
            </w:r>
            <w:r w:rsidRPr="004629B7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4629B7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64C92" w:rsidRPr="004629B7" w:rsidTr="004629B7">
        <w:trPr>
          <w:trHeight w:val="262"/>
        </w:trPr>
        <w:tc>
          <w:tcPr>
            <w:tcW w:w="5070" w:type="dxa"/>
          </w:tcPr>
          <w:p w:rsidR="00D64C92" w:rsidRPr="004629B7" w:rsidRDefault="00D64C92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D64C92" w:rsidRPr="00F70F56" w:rsidRDefault="00D64C92" w:rsidP="00B6071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78</w:t>
            </w:r>
          </w:p>
        </w:tc>
        <w:tc>
          <w:tcPr>
            <w:tcW w:w="2812" w:type="dxa"/>
            <w:vAlign w:val="center"/>
          </w:tcPr>
          <w:p w:rsidR="00D64C92" w:rsidRPr="00F70F56" w:rsidRDefault="00D64C92" w:rsidP="00B6071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70F56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D64C92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4629B7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t>a techniczna i telekomunikacja</w:t>
            </w:r>
            <w:r w:rsidR="009F5D0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D64C92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D64C92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2,1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629B7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629B7" w:rsidRDefault="002E1B9A" w:rsidP="00C728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629B7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629B7" w:rsidRDefault="00D64C92" w:rsidP="004629B7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48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 xml:space="preserve">1,8 </w:t>
            </w:r>
            <w:r w:rsidR="008C05E6" w:rsidRPr="004629B7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4629B7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629B7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629B7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B00" w:rsidRDefault="006A3B00" w:rsidP="00513459">
      <w:r>
        <w:separator/>
      </w:r>
    </w:p>
  </w:endnote>
  <w:endnote w:type="continuationSeparator" w:id="0">
    <w:p w:rsidR="006A3B00" w:rsidRDefault="006A3B00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C035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C650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95" w:rsidRDefault="00C035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194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C6503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B00" w:rsidRDefault="006A3B00" w:rsidP="00513459">
      <w:r>
        <w:separator/>
      </w:r>
    </w:p>
  </w:footnote>
  <w:footnote w:type="continuationSeparator" w:id="0">
    <w:p w:rsidR="006A3B00" w:rsidRDefault="006A3B00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4757" w:rsidRDefault="00024757" w:rsidP="00024757">
    <w:pPr>
      <w:pStyle w:val="Tytu"/>
      <w:jc w:val="right"/>
      <w:rPr>
        <w:b w:val="0"/>
        <w:i/>
        <w:sz w:val="20"/>
      </w:rPr>
    </w:pPr>
  </w:p>
  <w:p w:rsidR="00024757" w:rsidRPr="007F763F" w:rsidRDefault="00024757" w:rsidP="00024757">
    <w:pPr>
      <w:pStyle w:val="Tytu"/>
      <w:jc w:val="right"/>
      <w:rPr>
        <w:b w:val="0"/>
        <w:i/>
        <w:sz w:val="20"/>
      </w:rPr>
    </w:pPr>
  </w:p>
  <w:p w:rsidR="005B55FC" w:rsidRPr="00024757" w:rsidRDefault="00C65034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2E98"/>
    <w:multiLevelType w:val="hybridMultilevel"/>
    <w:tmpl w:val="5D923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693BE4"/>
    <w:multiLevelType w:val="hybridMultilevel"/>
    <w:tmpl w:val="5200289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555D83"/>
    <w:multiLevelType w:val="hybridMultilevel"/>
    <w:tmpl w:val="8A4C13A8"/>
    <w:lvl w:ilvl="0" w:tplc="81B8EF7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142EF3"/>
    <w:multiLevelType w:val="hybridMultilevel"/>
    <w:tmpl w:val="9650EB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2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"/>
  </w:num>
  <w:num w:numId="4">
    <w:abstractNumId w:val="1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C92"/>
    <w:rsid w:val="00024757"/>
    <w:rsid w:val="00120C00"/>
    <w:rsid w:val="001D78B7"/>
    <w:rsid w:val="0021305A"/>
    <w:rsid w:val="002308D7"/>
    <w:rsid w:val="00234397"/>
    <w:rsid w:val="00246293"/>
    <w:rsid w:val="002E1B9A"/>
    <w:rsid w:val="002F3B0C"/>
    <w:rsid w:val="003847A3"/>
    <w:rsid w:val="003B7366"/>
    <w:rsid w:val="004629B7"/>
    <w:rsid w:val="004673D9"/>
    <w:rsid w:val="00480933"/>
    <w:rsid w:val="004C3F62"/>
    <w:rsid w:val="004D6624"/>
    <w:rsid w:val="00513459"/>
    <w:rsid w:val="00520603"/>
    <w:rsid w:val="00570C05"/>
    <w:rsid w:val="005C4E66"/>
    <w:rsid w:val="006207BD"/>
    <w:rsid w:val="006A3B00"/>
    <w:rsid w:val="007E66FC"/>
    <w:rsid w:val="00804FF1"/>
    <w:rsid w:val="008C05E6"/>
    <w:rsid w:val="008E57B8"/>
    <w:rsid w:val="00960368"/>
    <w:rsid w:val="009A095A"/>
    <w:rsid w:val="009B1061"/>
    <w:rsid w:val="009F5D0A"/>
    <w:rsid w:val="00A772AD"/>
    <w:rsid w:val="00AB2578"/>
    <w:rsid w:val="00AC3C06"/>
    <w:rsid w:val="00C0353D"/>
    <w:rsid w:val="00C65034"/>
    <w:rsid w:val="00C728F1"/>
    <w:rsid w:val="00C7735D"/>
    <w:rsid w:val="00CA60B7"/>
    <w:rsid w:val="00CC4C72"/>
    <w:rsid w:val="00CC5A9C"/>
    <w:rsid w:val="00D64C92"/>
    <w:rsid w:val="00DC5E52"/>
    <w:rsid w:val="00DE4617"/>
    <w:rsid w:val="00E41946"/>
    <w:rsid w:val="00EE67FF"/>
    <w:rsid w:val="00EF5815"/>
    <w:rsid w:val="00F0075C"/>
    <w:rsid w:val="00F143A5"/>
    <w:rsid w:val="00F2677E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rsid w:val="00520603"/>
    <w:pPr>
      <w:spacing w:before="100" w:beforeAutospacing="1" w:after="100" w:afterAutospacing="1"/>
    </w:pPr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D64C9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64C9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4</Pages>
  <Words>1159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dcterms:created xsi:type="dcterms:W3CDTF">2021-08-18T07:35:00Z</dcterms:created>
  <dcterms:modified xsi:type="dcterms:W3CDTF">2021-08-18T07:35:00Z</dcterms:modified>
</cp:coreProperties>
</file>